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D2FC" w14:textId="77777777" w:rsidR="002650F2" w:rsidRPr="002650F2" w:rsidRDefault="00CC1DF4" w:rsidP="00886ED4">
      <w:pPr>
        <w:widowControl/>
        <w:shd w:val="clear" w:color="auto" w:fill="FFFFFF"/>
        <w:adjustRightInd w:val="0"/>
        <w:snapToGrid w:val="0"/>
        <w:spacing w:before="100" w:beforeAutospacing="1" w:after="100" w:afterAutospacing="1" w:line="312" w:lineRule="auto"/>
        <w:jc w:val="left"/>
        <w:rPr>
          <w:rFonts w:ascii="宋体" w:eastAsia="宋体" w:hAnsi="宋体" w:cs="宋体"/>
          <w:b/>
          <w:bCs/>
          <w:color w:val="000000"/>
          <w:kern w:val="0"/>
          <w:sz w:val="28"/>
        </w:rPr>
      </w:pPr>
      <w:r w:rsidRPr="002650F2">
        <w:rPr>
          <w:rFonts w:ascii="宋体" w:eastAsia="宋体" w:hAnsi="宋体" w:cs="宋体" w:hint="eastAsia"/>
          <w:b/>
          <w:bCs/>
          <w:color w:val="000000"/>
          <w:kern w:val="0"/>
          <w:sz w:val="28"/>
        </w:rPr>
        <w:t>X</w:t>
      </w:r>
      <w:r w:rsidRPr="002650F2">
        <w:rPr>
          <w:rFonts w:ascii="宋体" w:eastAsia="宋体" w:hAnsi="宋体" w:cs="宋体"/>
          <w:b/>
          <w:bCs/>
          <w:color w:val="000000"/>
          <w:kern w:val="0"/>
          <w:sz w:val="28"/>
        </w:rPr>
        <w:t>X</w:t>
      </w:r>
      <w:r w:rsidRPr="00CC1DF4">
        <w:rPr>
          <w:rFonts w:ascii="宋体" w:eastAsia="宋体" w:hAnsi="宋体" w:cs="宋体" w:hint="eastAsia"/>
          <w:b/>
          <w:bCs/>
          <w:color w:val="000000"/>
          <w:kern w:val="0"/>
          <w:sz w:val="28"/>
        </w:rPr>
        <w:t>社会工作</w:t>
      </w:r>
      <w:r w:rsidRPr="002650F2">
        <w:rPr>
          <w:rFonts w:ascii="宋体" w:eastAsia="宋体" w:hAnsi="宋体" w:cs="宋体" w:hint="eastAsia"/>
          <w:b/>
          <w:bCs/>
          <w:color w:val="000000"/>
          <w:kern w:val="0"/>
          <w:sz w:val="28"/>
        </w:rPr>
        <w:t>服务站</w:t>
      </w:r>
    </w:p>
    <w:p w14:paraId="2538E3F1" w14:textId="358ACEB6"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36"/>
          <w:szCs w:val="36"/>
        </w:rPr>
      </w:pPr>
      <w:r w:rsidRPr="00CC1DF4">
        <w:rPr>
          <w:rFonts w:ascii="宋体" w:eastAsia="宋体" w:hAnsi="宋体" w:cs="宋体" w:hint="eastAsia"/>
          <w:b/>
          <w:bCs/>
          <w:color w:val="000000"/>
          <w:kern w:val="0"/>
          <w:sz w:val="36"/>
          <w:szCs w:val="36"/>
        </w:rPr>
        <w:t>财务管理制度</w:t>
      </w:r>
    </w:p>
    <w:p w14:paraId="128D5631" w14:textId="25F2D542"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t>第一章</w:t>
      </w:r>
      <w:r w:rsidR="002650F2">
        <w:rPr>
          <w:rFonts w:ascii="宋体" w:eastAsia="宋体" w:hAnsi="宋体" w:cs="宋体"/>
          <w:b/>
          <w:bCs/>
          <w:color w:val="000000"/>
          <w:kern w:val="0"/>
          <w:sz w:val="28"/>
        </w:rPr>
        <w:t xml:space="preserve"> </w:t>
      </w:r>
      <w:r w:rsidRPr="00CC1DF4">
        <w:rPr>
          <w:rFonts w:ascii="宋体" w:eastAsia="宋体" w:hAnsi="宋体" w:cs="宋体" w:hint="eastAsia"/>
          <w:b/>
          <w:bCs/>
          <w:color w:val="000000"/>
          <w:kern w:val="0"/>
          <w:sz w:val="28"/>
        </w:rPr>
        <w:t>会计核算制度</w:t>
      </w:r>
    </w:p>
    <w:p w14:paraId="0BCC41EA" w14:textId="6DD14FF5" w:rsidR="002650F2" w:rsidRDefault="00CC1DF4" w:rsidP="00886ED4">
      <w:pPr>
        <w:widowControl/>
        <w:shd w:val="clear" w:color="auto" w:fill="FFFFFF"/>
        <w:adjustRightInd w:val="0"/>
        <w:snapToGrid w:val="0"/>
        <w:spacing w:before="100" w:beforeAutospacing="1" w:after="100" w:afterAutospacing="1" w:line="312" w:lineRule="auto"/>
        <w:ind w:firstLineChars="200" w:firstLine="480"/>
        <w:jc w:val="left"/>
        <w:rPr>
          <w:rFonts w:ascii="宋体" w:eastAsia="宋体" w:hAnsi="宋体" w:cs="宋体"/>
          <w:color w:val="000000"/>
          <w:kern w:val="0"/>
          <w:szCs w:val="24"/>
        </w:rPr>
      </w:pPr>
      <w:r w:rsidRPr="00CC1DF4">
        <w:rPr>
          <w:rFonts w:ascii="宋体" w:eastAsia="宋体" w:hAnsi="宋体" w:cs="宋体" w:hint="eastAsia"/>
          <w:color w:val="000000"/>
          <w:kern w:val="0"/>
          <w:szCs w:val="24"/>
        </w:rPr>
        <w:t>一、</w:t>
      </w:r>
      <w:r>
        <w:rPr>
          <w:rFonts w:ascii="宋体" w:eastAsia="宋体" w:hAnsi="宋体" w:cs="宋体" w:hint="eastAsia"/>
          <w:color w:val="000000"/>
          <w:kern w:val="0"/>
          <w:szCs w:val="24"/>
        </w:rPr>
        <w:t>本机构</w:t>
      </w:r>
      <w:r w:rsidRPr="00CC1DF4">
        <w:rPr>
          <w:rFonts w:ascii="宋体" w:eastAsia="宋体" w:hAnsi="宋体" w:cs="宋体" w:hint="eastAsia"/>
          <w:color w:val="000000"/>
          <w:kern w:val="0"/>
          <w:szCs w:val="24"/>
        </w:rPr>
        <w:t>执行《中华人民共和国会计法》和《民间非营利组织会计制度》等法律法规关于会计核算一般原则、会计凭证和账簿、内部审计和财产清查、成本清查等事项的规定。</w:t>
      </w:r>
    </w:p>
    <w:p w14:paraId="53304DC5" w14:textId="33616785"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w:t>
      </w:r>
      <w:r>
        <w:rPr>
          <w:rFonts w:ascii="宋体" w:eastAsia="宋体" w:hAnsi="宋体" w:cs="宋体" w:hint="eastAsia"/>
          <w:color w:val="000000"/>
          <w:kern w:val="0"/>
          <w:szCs w:val="24"/>
        </w:rPr>
        <w:t>本</w:t>
      </w:r>
      <w:r w:rsidRPr="00CC1DF4">
        <w:rPr>
          <w:rFonts w:ascii="宋体" w:eastAsia="宋体" w:hAnsi="宋体" w:cs="宋体" w:hint="eastAsia"/>
          <w:color w:val="000000"/>
          <w:kern w:val="0"/>
          <w:szCs w:val="24"/>
        </w:rPr>
        <w:t>机构采用国家规定的会计制度的会计科目和会计报表，并按有关的规定办理会计事务。</w:t>
      </w:r>
    </w:p>
    <w:p w14:paraId="7F2472B4" w14:textId="0ED006D1" w:rsidR="00CC1DF4" w:rsidRPr="00CC1DF4" w:rsidRDefault="00CC1DF4" w:rsidP="00886ED4">
      <w:pPr>
        <w:widowControl/>
        <w:shd w:val="clear" w:color="auto" w:fill="FFFFFF"/>
        <w:adjustRightInd w:val="0"/>
        <w:snapToGrid w:val="0"/>
        <w:spacing w:before="100" w:beforeAutospacing="1" w:after="100" w:afterAutospacing="1" w:line="312" w:lineRule="auto"/>
        <w:ind w:firstLineChars="200"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三、记账方法采用借贷记账法。记账原则采用权责发生制。</w:t>
      </w:r>
    </w:p>
    <w:p w14:paraId="34515210" w14:textId="6D9D62BF" w:rsidR="00CC1DF4" w:rsidRPr="00CC1DF4" w:rsidRDefault="00CC1DF4" w:rsidP="00886ED4">
      <w:pPr>
        <w:widowControl/>
        <w:shd w:val="clear" w:color="auto" w:fill="FFFFFF"/>
        <w:adjustRightInd w:val="0"/>
        <w:snapToGrid w:val="0"/>
        <w:spacing w:before="100" w:beforeAutospacing="1" w:after="100" w:afterAutospacing="1" w:line="312" w:lineRule="auto"/>
        <w:ind w:firstLineChars="200"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四、机构所发生的债权、债务、收入和费用等应按实际收付的货币记账，以人民币为记账位币。人民币同其他货币折算，按国家规定的会计制度规定办理。</w:t>
      </w:r>
    </w:p>
    <w:p w14:paraId="2EC5EE3B" w14:textId="069189FD" w:rsidR="00CC1DF4" w:rsidRPr="00CC1DF4" w:rsidRDefault="00CC1DF4" w:rsidP="00886ED4">
      <w:pPr>
        <w:widowControl/>
        <w:shd w:val="clear" w:color="auto" w:fill="FFFFFF"/>
        <w:adjustRightInd w:val="0"/>
        <w:snapToGrid w:val="0"/>
        <w:spacing w:before="100" w:beforeAutospacing="1" w:after="100" w:afterAutospacing="1" w:line="312" w:lineRule="auto"/>
        <w:ind w:firstLineChars="200"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五、会计凭证、账簿、报表中各种文字记录用中文记载，数目字用阿拉伯数字记载。记载、书写必须使用黑色油性笔填写，不得用铅笔及圆珠笔书写。</w:t>
      </w:r>
    </w:p>
    <w:p w14:paraId="7A510CAB" w14:textId="51615FB2" w:rsidR="00CC1DF4" w:rsidRPr="00CC1DF4" w:rsidRDefault="00CC1DF4" w:rsidP="00886ED4">
      <w:pPr>
        <w:widowControl/>
        <w:shd w:val="clear" w:color="auto" w:fill="FFFFFF"/>
        <w:adjustRightInd w:val="0"/>
        <w:snapToGrid w:val="0"/>
        <w:spacing w:before="100" w:beforeAutospacing="1" w:after="100" w:afterAutospacing="1" w:line="312" w:lineRule="auto"/>
        <w:ind w:firstLineChars="200"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六、对同一时期的各项收入及与其相关联的成本、费用都必须在同一时期内反映，如应付工资、应提折旧等均按规定时间进行，不应提前或延后。</w:t>
      </w:r>
    </w:p>
    <w:p w14:paraId="12600804" w14:textId="7A3B226B" w:rsidR="00CC1DF4" w:rsidRPr="00CC1DF4" w:rsidRDefault="00CC1DF4" w:rsidP="00886ED4">
      <w:pPr>
        <w:widowControl/>
        <w:shd w:val="clear" w:color="auto" w:fill="FFFFFF"/>
        <w:adjustRightInd w:val="0"/>
        <w:snapToGrid w:val="0"/>
        <w:spacing w:before="100" w:beforeAutospacing="1" w:after="100" w:afterAutospacing="1" w:line="312" w:lineRule="auto"/>
        <w:ind w:firstLineChars="200"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七、机构采用的会计处理方法，前后各期必须一致，非</w:t>
      </w:r>
      <w:r w:rsidR="008E232E">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同意，任何人不得随意改变。</w:t>
      </w:r>
    </w:p>
    <w:p w14:paraId="092039BA" w14:textId="219AAA42" w:rsidR="00CC1DF4" w:rsidRPr="00CC1DF4" w:rsidRDefault="00CC1DF4" w:rsidP="00886ED4">
      <w:pPr>
        <w:widowControl/>
        <w:shd w:val="clear" w:color="auto" w:fill="FFFFFF"/>
        <w:adjustRightInd w:val="0"/>
        <w:snapToGrid w:val="0"/>
        <w:spacing w:before="100" w:beforeAutospacing="1" w:after="100" w:afterAutospacing="1" w:line="312" w:lineRule="auto"/>
        <w:ind w:firstLineChars="200"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八、机构主要的会计报表有如下几种：</w:t>
      </w:r>
    </w:p>
    <w:p w14:paraId="345357DB"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36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（一）资产负债表（年、季、月）；</w:t>
      </w:r>
    </w:p>
    <w:p w14:paraId="7C5E4ABD"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36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（二）业务活动表（年、季、月）；</w:t>
      </w:r>
    </w:p>
    <w:p w14:paraId="4866413A" w14:textId="2F713DBF" w:rsidR="00CC1DF4" w:rsidRDefault="00CC1DF4" w:rsidP="00886ED4">
      <w:pPr>
        <w:widowControl/>
        <w:shd w:val="clear" w:color="auto" w:fill="FFFFFF"/>
        <w:adjustRightInd w:val="0"/>
        <w:snapToGrid w:val="0"/>
        <w:spacing w:before="100" w:beforeAutospacing="1" w:after="100" w:afterAutospacing="1" w:line="312" w:lineRule="auto"/>
        <w:ind w:firstLine="360"/>
        <w:jc w:val="left"/>
        <w:rPr>
          <w:rFonts w:ascii="宋体" w:eastAsia="宋体" w:hAnsi="宋体" w:cs="宋体"/>
          <w:color w:val="000000"/>
          <w:kern w:val="0"/>
          <w:szCs w:val="24"/>
        </w:rPr>
      </w:pPr>
      <w:r w:rsidRPr="00CC1DF4">
        <w:rPr>
          <w:rFonts w:ascii="宋体" w:eastAsia="宋体" w:hAnsi="宋体" w:cs="宋体" w:hint="eastAsia"/>
          <w:color w:val="000000"/>
          <w:kern w:val="0"/>
          <w:szCs w:val="24"/>
        </w:rPr>
        <w:t>（三）现金流量表（年）。</w:t>
      </w:r>
    </w:p>
    <w:p w14:paraId="265A90FE" w14:textId="77777777" w:rsidR="00886ED4" w:rsidRPr="00CC1DF4" w:rsidRDefault="00886ED4" w:rsidP="00886ED4">
      <w:pPr>
        <w:widowControl/>
        <w:shd w:val="clear" w:color="auto" w:fill="FFFFFF"/>
        <w:adjustRightInd w:val="0"/>
        <w:snapToGrid w:val="0"/>
        <w:spacing w:before="100" w:beforeAutospacing="1" w:after="100" w:afterAutospacing="1" w:line="312" w:lineRule="auto"/>
        <w:ind w:firstLine="360"/>
        <w:jc w:val="left"/>
        <w:rPr>
          <w:rFonts w:ascii="微软雅黑" w:eastAsia="微软雅黑" w:hAnsi="微软雅黑" w:cs="宋体"/>
          <w:color w:val="000000"/>
          <w:kern w:val="0"/>
          <w:sz w:val="18"/>
          <w:szCs w:val="18"/>
        </w:rPr>
      </w:pPr>
    </w:p>
    <w:p w14:paraId="15E11E9F" w14:textId="5F60A016" w:rsidR="00CC1DF4" w:rsidRPr="00CC1DF4" w:rsidRDefault="00CC1DF4" w:rsidP="00886ED4">
      <w:pPr>
        <w:widowControl/>
        <w:shd w:val="clear" w:color="auto" w:fill="FFFFFF"/>
        <w:adjustRightInd w:val="0"/>
        <w:snapToGrid w:val="0"/>
        <w:spacing w:before="100" w:beforeAutospacing="1" w:after="100" w:afterAutospacing="1" w:line="312" w:lineRule="auto"/>
        <w:ind w:firstLine="510"/>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lastRenderedPageBreak/>
        <w:t>第二章</w:t>
      </w:r>
      <w:r w:rsidR="002650F2">
        <w:rPr>
          <w:rFonts w:ascii="宋体" w:eastAsia="宋体" w:hAnsi="宋体" w:cs="宋体" w:hint="eastAsia"/>
          <w:b/>
          <w:bCs/>
          <w:color w:val="000000"/>
          <w:kern w:val="0"/>
          <w:sz w:val="28"/>
        </w:rPr>
        <w:t xml:space="preserve"> </w:t>
      </w:r>
      <w:r w:rsidRPr="00CC1DF4">
        <w:rPr>
          <w:rFonts w:ascii="宋体" w:eastAsia="宋体" w:hAnsi="宋体" w:cs="宋体" w:hint="eastAsia"/>
          <w:b/>
          <w:bCs/>
          <w:color w:val="000000"/>
          <w:kern w:val="0"/>
          <w:sz w:val="28"/>
        </w:rPr>
        <w:t>货币资金管理制度</w:t>
      </w:r>
    </w:p>
    <w:p w14:paraId="7860775A"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一、货币资金包括库存现金、银行存款和其他货币资金等。</w:t>
      </w:r>
    </w:p>
    <w:p w14:paraId="27CF9D60"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4"/>
        <w:jc w:val="left"/>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Cs w:val="24"/>
        </w:rPr>
        <w:t>二、</w:t>
      </w:r>
      <w:r w:rsidRPr="00CC1DF4">
        <w:rPr>
          <w:rFonts w:ascii="宋体" w:eastAsia="宋体" w:hAnsi="宋体" w:cs="宋体" w:hint="eastAsia"/>
          <w:color w:val="000000"/>
          <w:kern w:val="0"/>
          <w:szCs w:val="24"/>
        </w:rPr>
        <w:t>现金是指机构的库存现金，包括人民币现金和外币现金。</w:t>
      </w:r>
    </w:p>
    <w:p w14:paraId="62D53215"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机构在办理有关现金收支业务时，应当遵循以下规定：</w:t>
      </w:r>
    </w:p>
    <w:p w14:paraId="27EF310A"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384"/>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（一）金额较大且短期内不使用的现金应当存送开户银行；</w:t>
      </w:r>
    </w:p>
    <w:p w14:paraId="1E390535"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384"/>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（二）机构支付现金，可以从库存现金中提取，库存现金不足时，先从开户银行提取备用金，再从备用金中支付所需现金。</w:t>
      </w:r>
    </w:p>
    <w:p w14:paraId="0C897B0E"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三、不准使用不符合</w:t>
      </w:r>
      <w:hyperlink r:id="rId6" w:tgtFrame="_blank" w:history="1">
        <w:r w:rsidRPr="00CC1DF4">
          <w:rPr>
            <w:rFonts w:ascii="宋体" w:eastAsia="宋体" w:hAnsi="宋体" w:cs="宋体" w:hint="eastAsia"/>
            <w:color w:val="000000"/>
            <w:kern w:val="0"/>
            <w:szCs w:val="24"/>
          </w:rPr>
          <w:t>国家</w:t>
        </w:r>
      </w:hyperlink>
      <w:r w:rsidRPr="00CC1DF4">
        <w:rPr>
          <w:rFonts w:ascii="宋体" w:eastAsia="宋体" w:hAnsi="宋体" w:cs="宋体" w:hint="eastAsia"/>
          <w:color w:val="000000"/>
          <w:kern w:val="0"/>
          <w:szCs w:val="24"/>
        </w:rPr>
        <w:t>统一会计制度的凭证顶替库存现金，即不得“白条顶库”；不准谎报用途套取现金；不准用银行账户代替其他单位和个人存入或支取现金。</w:t>
      </w:r>
    </w:p>
    <w:p w14:paraId="11426F6D"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四、现金的库存限额。现金的库存限额是指按照银行现金管理规定，由开户银行核定的企业现金的库存最高额度。现金的库存限额由开户单位提出申请，由开户银行审查核定。现金的库存限额原则上根据机构3至5天的日常零星开支的需要确定,但最高不超过15天。</w:t>
      </w:r>
    </w:p>
    <w:p w14:paraId="3CB969F0"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五、现金的使用范围：</w:t>
      </w:r>
    </w:p>
    <w:p w14:paraId="3021DEA6"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w:t>
      </w:r>
      <w:hyperlink r:id="rId7" w:tgtFrame="_blank" w:history="1">
        <w:r w:rsidRPr="00CC1DF4">
          <w:rPr>
            <w:rFonts w:ascii="宋体" w:eastAsia="宋体" w:hAnsi="宋体" w:cs="宋体" w:hint="eastAsia"/>
            <w:color w:val="000000"/>
            <w:kern w:val="0"/>
            <w:szCs w:val="24"/>
            <w:u w:val="single"/>
          </w:rPr>
          <w:t>职工</w:t>
        </w:r>
      </w:hyperlink>
      <w:r w:rsidRPr="00CC1DF4">
        <w:rPr>
          <w:rFonts w:ascii="宋体" w:eastAsia="宋体" w:hAnsi="宋体" w:cs="宋体" w:hint="eastAsia"/>
          <w:color w:val="000000"/>
          <w:kern w:val="0"/>
          <w:szCs w:val="24"/>
        </w:rPr>
        <w:t>的工资，津贴。</w:t>
      </w:r>
    </w:p>
    <w:p w14:paraId="1E676491"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（二）个人劳务报酬。</w:t>
      </w:r>
    </w:p>
    <w:p w14:paraId="7F89D57B"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（三）根据国家规定颁发给个人的科学技术，文化艺术，体育等各种奖金。</w:t>
      </w:r>
    </w:p>
    <w:p w14:paraId="65CFC279"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（四）各种劳保，福利费用以及国家规定的对个人的其他支出。</w:t>
      </w:r>
    </w:p>
    <w:p w14:paraId="6E648049"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（五）向个人收购农副产品和其他</w:t>
      </w:r>
      <w:hyperlink r:id="rId8" w:tgtFrame="_blank" w:history="1">
        <w:r w:rsidRPr="00CC1DF4">
          <w:rPr>
            <w:rFonts w:ascii="宋体" w:eastAsia="宋体" w:hAnsi="宋体" w:cs="宋体" w:hint="eastAsia"/>
            <w:color w:val="000000"/>
            <w:kern w:val="0"/>
            <w:szCs w:val="24"/>
          </w:rPr>
          <w:t>物资</w:t>
        </w:r>
      </w:hyperlink>
      <w:r w:rsidRPr="00CC1DF4">
        <w:rPr>
          <w:rFonts w:ascii="宋体" w:eastAsia="宋体" w:hAnsi="宋体" w:cs="宋体" w:hint="eastAsia"/>
          <w:color w:val="000000"/>
          <w:kern w:val="0"/>
          <w:szCs w:val="24"/>
        </w:rPr>
        <w:t>的价款。</w:t>
      </w:r>
    </w:p>
    <w:p w14:paraId="209A52AE"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（六）出差人员必须随身携带的差旅费。</w:t>
      </w:r>
    </w:p>
    <w:p w14:paraId="5B628EE3"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（七）结算起点以下的零星开支。</w:t>
      </w:r>
    </w:p>
    <w:p w14:paraId="6F1084B6"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lastRenderedPageBreak/>
        <w:t>（八）</w:t>
      </w:r>
      <w:hyperlink r:id="rId9" w:tgtFrame="_blank" w:history="1">
        <w:r w:rsidRPr="00CC1DF4">
          <w:rPr>
            <w:rFonts w:ascii="宋体" w:eastAsia="宋体" w:hAnsi="宋体" w:cs="宋体" w:hint="eastAsia"/>
            <w:color w:val="000000"/>
            <w:kern w:val="0"/>
            <w:szCs w:val="24"/>
          </w:rPr>
          <w:t>中国人民银行</w:t>
        </w:r>
      </w:hyperlink>
      <w:r w:rsidRPr="00CC1DF4">
        <w:rPr>
          <w:rFonts w:ascii="宋体" w:eastAsia="宋体" w:hAnsi="宋体" w:cs="宋体" w:hint="eastAsia"/>
          <w:color w:val="000000"/>
          <w:kern w:val="0"/>
          <w:szCs w:val="24"/>
        </w:rPr>
        <w:t>确定需要支付现金的其他支出。</w:t>
      </w:r>
    </w:p>
    <w:p w14:paraId="67C029AF" w14:textId="7FB2C933"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六、机构平日提取现金、转账等业务发生时使用支票。机构使用支票时，应如实填写支票的用途，由机构财务部负责人签字及</w:t>
      </w:r>
      <w:r w:rsidR="004009F3">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签字（或签章），并加盖公章，报开户银行审查批准后予以办理。现金支票只能用于支取现金；转账支票只能用于转账；普通支票既可以用于支取现金，也可以用于转账。支票的提示付款期限为自出票日起10日，中国人民银行另有规定的除外。</w:t>
      </w:r>
    </w:p>
    <w:p w14:paraId="520C0A3F"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七、机构按规定设置现金日记账和</w:t>
      </w:r>
      <w:hyperlink r:id="rId10" w:tgtFrame="_blank" w:history="1">
        <w:r w:rsidRPr="00CC1DF4">
          <w:rPr>
            <w:rFonts w:ascii="宋体" w:eastAsia="宋体" w:hAnsi="宋体" w:cs="宋体" w:hint="eastAsia"/>
            <w:color w:val="000000"/>
            <w:kern w:val="0"/>
            <w:szCs w:val="24"/>
          </w:rPr>
          <w:t>银行存款日记账</w:t>
        </w:r>
      </w:hyperlink>
      <w:r w:rsidRPr="00CC1DF4">
        <w:rPr>
          <w:rFonts w:ascii="宋体" w:eastAsia="宋体" w:hAnsi="宋体" w:cs="宋体" w:hint="eastAsia"/>
          <w:color w:val="000000"/>
          <w:kern w:val="0"/>
          <w:szCs w:val="24"/>
        </w:rPr>
        <w:t>。按照业务发生顺序逐日逐笔登记。在开户银行开设的不同账号的基本户与子账户应分别列算。</w:t>
      </w:r>
    </w:p>
    <w:p w14:paraId="32F1ED67"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八、现金的核算应当做到日清月结，其账面余额必须与库存数相符；银行存款的账面余额应当与银行对账单定期核对。</w:t>
      </w:r>
    </w:p>
    <w:p w14:paraId="062D4C15" w14:textId="4820604E"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t>第三章</w:t>
      </w:r>
      <w:r w:rsidR="002650F2">
        <w:rPr>
          <w:rFonts w:ascii="宋体" w:eastAsia="宋体" w:hAnsi="宋体" w:cs="宋体"/>
          <w:b/>
          <w:bCs/>
          <w:color w:val="000000"/>
          <w:kern w:val="0"/>
          <w:sz w:val="28"/>
        </w:rPr>
        <w:t xml:space="preserve"> </w:t>
      </w:r>
      <w:r w:rsidRPr="00CC1DF4">
        <w:rPr>
          <w:rFonts w:ascii="宋体" w:eastAsia="宋体" w:hAnsi="宋体" w:cs="宋体" w:hint="eastAsia"/>
          <w:b/>
          <w:bCs/>
          <w:color w:val="000000"/>
          <w:kern w:val="0"/>
          <w:sz w:val="28"/>
        </w:rPr>
        <w:t>费用开支控制制度</w:t>
      </w:r>
    </w:p>
    <w:p w14:paraId="12CC75EF"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一、费用是指民间非营利组织为开展业务活动所发生的、导致本期净资产减少的经济利益或者服务潜力的流出。费用应当按照其功能分为业务活动成本、管理费用、筹资费用和其他费用等。</w:t>
      </w:r>
    </w:p>
    <w:p w14:paraId="48D4FD0F"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业务活动成本，是指机构为了实现其业务活动目标、开展活动或者提供服务所发生的费用。机构所从事的项目、提供的服务或者开展的业务所需之相关费用全部归集在“业务活动成本”项目下进行核算和列报。</w:t>
      </w:r>
    </w:p>
    <w:p w14:paraId="2DFCFADF" w14:textId="6A67EECF"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三、管理费用，是指机构为管理其业务活动所发生的各项费用。包括机构经费和</w:t>
      </w:r>
      <w:hyperlink r:id="rId11" w:tgtFrame="_blank" w:history="1">
        <w:r w:rsidRPr="00CC1DF4">
          <w:rPr>
            <w:rFonts w:ascii="宋体" w:eastAsia="宋体" w:hAnsi="宋体" w:cs="宋体" w:hint="eastAsia"/>
            <w:color w:val="000000"/>
            <w:kern w:val="0"/>
            <w:szCs w:val="24"/>
          </w:rPr>
          <w:t>行政管理人员</w:t>
        </w:r>
      </w:hyperlink>
      <w:r w:rsidRPr="00CC1DF4">
        <w:rPr>
          <w:rFonts w:ascii="宋体" w:eastAsia="宋体" w:hAnsi="宋体" w:cs="宋体" w:hint="eastAsia"/>
          <w:color w:val="000000"/>
          <w:kern w:val="0"/>
          <w:szCs w:val="24"/>
        </w:rPr>
        <w:t>的工资、奖金、住房公积金、</w:t>
      </w:r>
      <w:hyperlink r:id="rId12" w:tgtFrame="_blank" w:history="1">
        <w:r w:rsidRPr="00CC1DF4">
          <w:rPr>
            <w:rFonts w:ascii="宋体" w:eastAsia="宋体" w:hAnsi="宋体" w:cs="宋体" w:hint="eastAsia"/>
            <w:color w:val="000000"/>
            <w:kern w:val="0"/>
            <w:szCs w:val="24"/>
          </w:rPr>
          <w:t>社会保险费</w:t>
        </w:r>
      </w:hyperlink>
      <w:r w:rsidRPr="00CC1DF4">
        <w:rPr>
          <w:rFonts w:ascii="宋体" w:eastAsia="宋体" w:hAnsi="宋体" w:cs="宋体" w:hint="eastAsia"/>
          <w:color w:val="000000"/>
          <w:kern w:val="0"/>
          <w:szCs w:val="24"/>
        </w:rPr>
        <w:t>，以及会议费、印刷宣传费、管理人员因工的差旅费（交通、食宿和餐饮）、专家顾问费、办公费、水电费、通讯费、折旧费、维修费、租赁费、</w:t>
      </w:r>
      <w:hyperlink r:id="rId13" w:tgtFrame="_blank" w:history="1">
        <w:r w:rsidRPr="00CC1DF4">
          <w:rPr>
            <w:rFonts w:ascii="宋体" w:eastAsia="宋体" w:hAnsi="宋体" w:cs="宋体" w:hint="eastAsia"/>
            <w:color w:val="000000"/>
            <w:kern w:val="0"/>
            <w:szCs w:val="24"/>
          </w:rPr>
          <w:t>无形资产摊销</w:t>
        </w:r>
      </w:hyperlink>
      <w:r w:rsidRPr="00CC1DF4">
        <w:rPr>
          <w:rFonts w:ascii="宋体" w:eastAsia="宋体" w:hAnsi="宋体" w:cs="宋体" w:hint="eastAsia"/>
          <w:color w:val="000000"/>
          <w:kern w:val="0"/>
          <w:szCs w:val="24"/>
        </w:rPr>
        <w:t>费、资产盘亏损失、</w:t>
      </w:r>
      <w:hyperlink r:id="rId14" w:tgtFrame="_blank" w:history="1">
        <w:r w:rsidRPr="00CC1DF4">
          <w:rPr>
            <w:rFonts w:ascii="宋体" w:eastAsia="宋体" w:hAnsi="宋体" w:cs="宋体" w:hint="eastAsia"/>
            <w:color w:val="000000"/>
            <w:kern w:val="0"/>
            <w:szCs w:val="24"/>
          </w:rPr>
          <w:t>资产减值损失</w:t>
        </w:r>
      </w:hyperlink>
      <w:r w:rsidRPr="00CC1DF4">
        <w:rPr>
          <w:rFonts w:ascii="宋体" w:eastAsia="宋体" w:hAnsi="宋体" w:cs="宋体" w:hint="eastAsia"/>
          <w:color w:val="000000"/>
          <w:kern w:val="0"/>
          <w:szCs w:val="24"/>
        </w:rPr>
        <w:t>、因预计负债所产生的损失、聘请中介机构费等。其中，福利费应当依法根据民间非营组织的管理权限，按照</w:t>
      </w:r>
      <w:r w:rsidR="008E232E">
        <w:rPr>
          <w:rFonts w:ascii="宋体" w:eastAsia="宋体" w:hAnsi="宋体" w:cs="宋体" w:hint="eastAsia"/>
          <w:color w:val="000000"/>
          <w:kern w:val="0"/>
          <w:szCs w:val="24"/>
        </w:rPr>
        <w:t>有关</w:t>
      </w:r>
      <w:r w:rsidRPr="00CC1DF4">
        <w:rPr>
          <w:rFonts w:ascii="宋体" w:eastAsia="宋体" w:hAnsi="宋体" w:cs="宋体" w:hint="eastAsia"/>
          <w:color w:val="000000"/>
          <w:kern w:val="0"/>
          <w:szCs w:val="24"/>
        </w:rPr>
        <w:t>规定据实列支。</w:t>
      </w:r>
    </w:p>
    <w:p w14:paraId="5D310F5B"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四、其他费用，是指民间非营利组织发生的、无法归属到上述业务活动成本、管理费用或者筹资费用中的费用，包括固定资产处置净损失、无形资产处置净损失等。</w:t>
      </w:r>
    </w:p>
    <w:p w14:paraId="3E2707CD"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lastRenderedPageBreak/>
        <w:t>五、机构的某些费用如果属于多项业务活动或者属于业务活动、管理活动或其他费用等共同发生的，而且不能直接归属于某一类活动，应当将这些费用按照合理的方法在各项活动中进行分配。</w:t>
      </w:r>
    </w:p>
    <w:p w14:paraId="7A6312F8"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六、机构发生的业务活动成本、管理费用、筹资费用和其他费用，应当在实际发生时按其发生额计入当期费用。</w:t>
      </w:r>
    </w:p>
    <w:p w14:paraId="45DBA995"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七、凡报销需经下列审批程序：</w:t>
      </w:r>
    </w:p>
    <w:p w14:paraId="17058BC7"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（一）报销人、证明人分别使用黑色油性水笔或签字笔在发票背面签字，发票必须明晰明确并附明细清单；</w:t>
      </w:r>
    </w:p>
    <w:p w14:paraId="4AD0122E"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（二）报销人填写《费用报销审批单》；</w:t>
      </w:r>
    </w:p>
    <w:p w14:paraId="2B565417"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（三）由财务确定单据是否齐全；</w:t>
      </w:r>
    </w:p>
    <w:p w14:paraId="29E4C6FB"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（四）提交“活动计划预算表”，待相关部门确定与活动计划是否相附，进行初审批；</w:t>
      </w:r>
    </w:p>
    <w:p w14:paraId="48B24FBE"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（五）由服务点负责人或领域负责人在“部门审核”处审核签名；</w:t>
      </w:r>
    </w:p>
    <w:p w14:paraId="7BAA0D94" w14:textId="55A1F064"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（六）由</w:t>
      </w:r>
      <w:r w:rsidR="004009F3">
        <w:rPr>
          <w:rFonts w:ascii="宋体" w:eastAsia="宋体" w:hAnsi="宋体" w:cs="宋体" w:hint="eastAsia"/>
          <w:color w:val="000000"/>
          <w:kern w:val="0"/>
          <w:szCs w:val="24"/>
        </w:rPr>
        <w:t>副站长</w:t>
      </w:r>
      <w:r w:rsidRPr="00CC1DF4">
        <w:rPr>
          <w:rFonts w:ascii="宋体" w:eastAsia="宋体" w:hAnsi="宋体" w:cs="宋体" w:hint="eastAsia"/>
          <w:color w:val="000000"/>
          <w:kern w:val="0"/>
          <w:szCs w:val="24"/>
        </w:rPr>
        <w:t>在“领导审批”处审核签名确认；</w:t>
      </w:r>
    </w:p>
    <w:p w14:paraId="45D7D3A3"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八、上述开支的必须支出，如情况紧急，需先致电请示相关部门负责人，得其同意后方可予以预支，待活动结束时应及时补办相关手续。</w:t>
      </w:r>
    </w:p>
    <w:p w14:paraId="03DEEB36"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九、员工个人因私借款情况，看具体情况再作审批。</w:t>
      </w:r>
    </w:p>
    <w:p w14:paraId="19F225AD" w14:textId="78655539"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t>第四章</w:t>
      </w:r>
      <w:r w:rsidR="002650F2">
        <w:rPr>
          <w:rFonts w:ascii="宋体" w:eastAsia="宋体" w:hAnsi="宋体" w:cs="宋体"/>
          <w:b/>
          <w:bCs/>
          <w:color w:val="000000"/>
          <w:kern w:val="0"/>
          <w:sz w:val="28"/>
        </w:rPr>
        <w:t xml:space="preserve"> </w:t>
      </w:r>
      <w:r w:rsidRPr="00CC1DF4">
        <w:rPr>
          <w:rFonts w:ascii="宋体" w:eastAsia="宋体" w:hAnsi="宋体" w:cs="宋体" w:hint="eastAsia"/>
          <w:b/>
          <w:bCs/>
          <w:color w:val="000000"/>
          <w:kern w:val="0"/>
          <w:sz w:val="28"/>
        </w:rPr>
        <w:t>资产管理制度</w:t>
      </w:r>
    </w:p>
    <w:p w14:paraId="799C1405"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资产，是指过去的交易或者事项形成并由民间非营利组织拥有或者控制的资源，该资源预期会给民间非营利组织带来经济利益或者服务潜力。资产应当按其流动性分为流动资产、长期投资、固定资产、无形资产和受托代理资产等。</w:t>
      </w:r>
    </w:p>
    <w:p w14:paraId="73B8EA2A"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二、对于机构接受捐赠的现金资产，应当按照实际收到的金额入账。对于接受捐赠的非现金资产，如接受捐赠的短期投资、存货、长期投资、固定资产和无形资产等，应当按照以下方法确定其入账价值：</w:t>
      </w:r>
    </w:p>
    <w:p w14:paraId="17FC5242"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lastRenderedPageBreak/>
        <w:t xml:space="preserve">　　（一）如果捐赠方提供了有关凭据（如发票、报关单、有关协议等）的，应当按照凭据上标明的金额，作为入账价值。如果凭据上表明的金额与受赠资产公允价值相差较大的，受赠资产应当以其公允价值作为其实际成本。</w:t>
      </w:r>
    </w:p>
    <w:p w14:paraId="45EC7156"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（二）如果捐赠方没有提供有关凭据的，受赠资产应当以其公允价值作为入账价值。</w:t>
      </w:r>
    </w:p>
    <w:p w14:paraId="1AC4D566"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对于民间非营利组织接受的劳务捐赠，不予确认，但应当在会计报表附注中作相关披露。</w:t>
      </w:r>
    </w:p>
    <w:p w14:paraId="0C3B65C7"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三、固定资产是指同时具有以下特征的有形资产：</w:t>
      </w:r>
    </w:p>
    <w:p w14:paraId="5DBC2DDA"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（一）为行政管理、提供服务、生产商品或者出租目的而持有的；</w:t>
      </w:r>
    </w:p>
    <w:p w14:paraId="1737E4A1"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（二）预计使用年限超过1年；</w:t>
      </w:r>
    </w:p>
    <w:p w14:paraId="564AC58F"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（三）单位价值为500元及以上。</w:t>
      </w:r>
    </w:p>
    <w:p w14:paraId="0D89ED52"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64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四、固定资产在取得时，应当按取得时的实际成本入账。取得时的实际成本包括买价、包装费、运输费、交纳的有关税金等相关费用，以及为使固定资产达到预定可使用状态前所必要的支出。固定资产取得时的实际成本应当根据以下具体情况分别确定：</w:t>
      </w:r>
    </w:p>
    <w:p w14:paraId="7F622B9E"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（一）外购的固定资产，按照实际支付的买价、相关税费以及为使固定资产达到预定可使用状态前所发生的可直接归属于该固定资产的其他支出（如，运输费、安装费、装卸费等）确定其成本。</w:t>
      </w:r>
    </w:p>
    <w:p w14:paraId="74303B84"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如果以一笔款项购入多项没有单独标价的固定资产，按各项固定资产公允价值的比例对总成本进行分配，分别确定各项固定资产的成本。</w:t>
      </w:r>
    </w:p>
    <w:p w14:paraId="79681F2D"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 xml:space="preserve">　　（二）自行建造的固定资产，按照建造该项资产达到预定可使用状态前所发生的全部必要支出确定其成本。 </w:t>
      </w:r>
    </w:p>
    <w:p w14:paraId="2A80F4AA" w14:textId="2E7840B5"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t>第五章</w:t>
      </w:r>
      <w:r w:rsidR="002650F2">
        <w:rPr>
          <w:rFonts w:ascii="宋体" w:eastAsia="宋体" w:hAnsi="宋体" w:cs="宋体" w:hint="eastAsia"/>
          <w:b/>
          <w:bCs/>
          <w:color w:val="000000"/>
          <w:kern w:val="0"/>
          <w:sz w:val="28"/>
        </w:rPr>
        <w:t xml:space="preserve"> </w:t>
      </w:r>
      <w:r w:rsidRPr="00CC1DF4">
        <w:rPr>
          <w:rFonts w:ascii="宋体" w:eastAsia="宋体" w:hAnsi="宋体" w:cs="宋体" w:hint="eastAsia"/>
          <w:b/>
          <w:bCs/>
          <w:color w:val="000000"/>
          <w:kern w:val="0"/>
          <w:sz w:val="28"/>
        </w:rPr>
        <w:t>预算和决算制度</w:t>
      </w:r>
    </w:p>
    <w:p w14:paraId="3036E637" w14:textId="5DC79392"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一、每年年初由财务部统计上年各费用使用情况，并编制上年费用总结，编制采购计划和预算表报</w:t>
      </w:r>
      <w:r w:rsidR="008E232E">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审批；</w:t>
      </w:r>
    </w:p>
    <w:p w14:paraId="452A9842" w14:textId="46A12F64"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lastRenderedPageBreak/>
        <w:t>二、其他行政部门应根据当期工作需要，向财务部提出物品申购，由财务部报</w:t>
      </w:r>
      <w:r w:rsidR="008E232E">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同意后，再安排相关物品采购。</w:t>
      </w:r>
    </w:p>
    <w:p w14:paraId="0E1FF25F" w14:textId="5CFD7260"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三、各领域服务点所使用的活动经费，先由服务点组长（负责人）制定采购计划后，先上报相关部门审批，金额较大时（1000元以上）直接报</w:t>
      </w:r>
      <w:r w:rsidR="004009F3">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审批，</w:t>
      </w:r>
      <w:r w:rsidR="004009F3">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同意后方由财务拨款至各服务点进行购买；</w:t>
      </w:r>
    </w:p>
    <w:p w14:paraId="7AA1EA8B" w14:textId="599B41EF"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四、采购价值在500元以上的物品要有2人以上共同办理；采购价值一万元或以上的固定资产前务必货比三家并报批</w:t>
      </w:r>
      <w:r w:rsidR="004009F3">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通过后方可购置。</w:t>
      </w:r>
    </w:p>
    <w:p w14:paraId="30AFD401" w14:textId="644E7642"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t>第六章</w:t>
      </w:r>
      <w:r w:rsidR="002650F2">
        <w:rPr>
          <w:rFonts w:ascii="宋体" w:eastAsia="宋体" w:hAnsi="宋体" w:cs="宋体" w:hint="eastAsia"/>
          <w:b/>
          <w:bCs/>
          <w:color w:val="000000"/>
          <w:kern w:val="0"/>
          <w:sz w:val="28"/>
        </w:rPr>
        <w:t xml:space="preserve"> </w:t>
      </w:r>
      <w:r w:rsidRPr="00CC1DF4">
        <w:rPr>
          <w:rFonts w:ascii="宋体" w:eastAsia="宋体" w:hAnsi="宋体" w:cs="宋体" w:hint="eastAsia"/>
          <w:b/>
          <w:bCs/>
          <w:color w:val="000000"/>
          <w:kern w:val="0"/>
          <w:sz w:val="28"/>
        </w:rPr>
        <w:t>会计档案管理</w:t>
      </w:r>
    </w:p>
    <w:p w14:paraId="6464E76E"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 凡是本机构的会计凭证、会计账簿、会计报表、会计文件和其他有保存价值的资料，均应归档。</w:t>
      </w:r>
    </w:p>
    <w:p w14:paraId="0E0F423A"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 会计凭证应按月、按编号顺序每月装订成册，标明年月日起止、册数、单据张数，由会计及有关人员签名盖章（包括制单、出纳、记账），由机构财务部主任指定专人归档保存，归档前应加以装订。</w:t>
      </w:r>
    </w:p>
    <w:p w14:paraId="7A6C67AF" w14:textId="5BA22657" w:rsidR="00CC1DF4" w:rsidRPr="00CC1DF4" w:rsidRDefault="00CC1DF4" w:rsidP="00886ED4">
      <w:pPr>
        <w:widowControl/>
        <w:shd w:val="clear" w:color="auto" w:fill="FFFFFF"/>
        <w:adjustRightInd w:val="0"/>
        <w:snapToGrid w:val="0"/>
        <w:spacing w:before="100" w:beforeAutospacing="1" w:after="100" w:afterAutospacing="1" w:line="312" w:lineRule="auto"/>
        <w:ind w:firstLine="51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 会计报表应分月、季、年报、按时归档，由</w:t>
      </w:r>
      <w:r w:rsidR="004009F3">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 xml:space="preserve">指定专人保管，并分类填制目录，且保管期限至少为15年。　</w:t>
      </w:r>
    </w:p>
    <w:p w14:paraId="2BD2A2C1"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四、 会计档案不得携带外出，凡查阅、复制、摘录会计档案，须经财务部主任批准。</w:t>
      </w:r>
    </w:p>
    <w:p w14:paraId="4ABA9B75" w14:textId="0E310BAC"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t>第七章</w:t>
      </w:r>
      <w:r w:rsidR="002650F2">
        <w:rPr>
          <w:rFonts w:ascii="宋体" w:eastAsia="宋体" w:hAnsi="宋体" w:cs="宋体"/>
          <w:b/>
          <w:bCs/>
          <w:color w:val="000000"/>
          <w:kern w:val="0"/>
          <w:sz w:val="28"/>
        </w:rPr>
        <w:t xml:space="preserve"> </w:t>
      </w:r>
      <w:r w:rsidRPr="00CC1DF4">
        <w:rPr>
          <w:rFonts w:ascii="宋体" w:eastAsia="宋体" w:hAnsi="宋体" w:cs="宋体" w:hint="eastAsia"/>
          <w:b/>
          <w:bCs/>
          <w:color w:val="000000"/>
          <w:kern w:val="0"/>
          <w:sz w:val="28"/>
        </w:rPr>
        <w:t>印章管理制度</w:t>
      </w:r>
    </w:p>
    <w:p w14:paraId="73EAAD12"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一、印章的使用应遵循“明确责任、严格审批、合理使用、妥善保管”的原则。</w:t>
      </w:r>
    </w:p>
    <w:p w14:paraId="0CFE7604"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二、这里的印章指机构银行财务章、法人私章、地税发票专用章。</w:t>
      </w:r>
    </w:p>
    <w:p w14:paraId="19022F47"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三、由机构财务负责人负责印象的监督管理工作，并不定期检查印章的使用情况及保管情况。</w:t>
      </w:r>
    </w:p>
    <w:p w14:paraId="03DC76A3" w14:textId="6DCF2FFD"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四、银行财务章、地税发票专用章由出纳保管，法人私章由</w:t>
      </w:r>
      <w:r w:rsidR="004009F3">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保管，且需存放于指定地点。</w:t>
      </w:r>
    </w:p>
    <w:p w14:paraId="3BBFF566"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lastRenderedPageBreak/>
        <w:t>五、印章保管人因请假等原因，需临时请他人代管印章的，应履行代保管手续，并注明代保管时间和代保管人；在原保管人回到岗位后，应立即将印章归还原保管人。</w:t>
      </w:r>
    </w:p>
    <w:p w14:paraId="4E362E02" w14:textId="75678760"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六、印章保管人离职或变动时，需办理相关印章交接手续，由</w:t>
      </w:r>
      <w:r w:rsidR="004009F3">
        <w:rPr>
          <w:rFonts w:ascii="宋体" w:eastAsia="宋体" w:hAnsi="宋体" w:cs="宋体" w:hint="eastAsia"/>
          <w:color w:val="000000"/>
          <w:kern w:val="0"/>
          <w:szCs w:val="24"/>
        </w:rPr>
        <w:t>副站长</w:t>
      </w:r>
      <w:r w:rsidRPr="00CC1DF4">
        <w:rPr>
          <w:rFonts w:ascii="宋体" w:eastAsia="宋体" w:hAnsi="宋体" w:cs="宋体" w:hint="eastAsia"/>
          <w:color w:val="000000"/>
          <w:kern w:val="0"/>
          <w:szCs w:val="24"/>
        </w:rPr>
        <w:t>监督进行交接或收回，交接时应记录相应交接的时间、人员、枚数、名称。</w:t>
      </w:r>
    </w:p>
    <w:p w14:paraId="0F8FE868"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七、如机构名称变更或印章受损时，需及时更换相应印章，并通知各有关单位。</w:t>
      </w:r>
    </w:p>
    <w:p w14:paraId="35DC3ABA" w14:textId="4070DE78" w:rsidR="002650F2"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八、印章如有丢失、损坏、被盗、误用等情况，应立即书面向</w:t>
      </w:r>
      <w:r w:rsidR="004009F3">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汇报，并采取相应的补救措施。</w:t>
      </w:r>
    </w:p>
    <w:p w14:paraId="38442272" w14:textId="5E74BC6B"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t>第八章</w:t>
      </w:r>
      <w:r w:rsidR="002650F2">
        <w:rPr>
          <w:rFonts w:ascii="宋体" w:eastAsia="宋体" w:hAnsi="宋体" w:cs="宋体"/>
          <w:b/>
          <w:bCs/>
          <w:color w:val="000000"/>
          <w:kern w:val="0"/>
          <w:sz w:val="28"/>
        </w:rPr>
        <w:t xml:space="preserve"> </w:t>
      </w:r>
      <w:r w:rsidRPr="00CC1DF4">
        <w:rPr>
          <w:rFonts w:ascii="宋体" w:eastAsia="宋体" w:hAnsi="宋体" w:cs="宋体" w:hint="eastAsia"/>
          <w:b/>
          <w:bCs/>
          <w:color w:val="000000"/>
          <w:kern w:val="0"/>
          <w:sz w:val="28"/>
        </w:rPr>
        <w:t>工资奖金</w:t>
      </w:r>
    </w:p>
    <w:p w14:paraId="28EA5279" w14:textId="1A717117" w:rsidR="00CC1DF4" w:rsidRPr="00CC1DF4" w:rsidRDefault="00CC1DF4" w:rsidP="00886ED4">
      <w:pPr>
        <w:widowControl/>
        <w:shd w:val="clear" w:color="auto" w:fill="FFFFFF"/>
        <w:adjustRightInd w:val="0"/>
        <w:snapToGrid w:val="0"/>
        <w:spacing w:before="100" w:beforeAutospacing="1" w:after="100" w:afterAutospacing="1" w:line="312" w:lineRule="auto"/>
        <w:ind w:firstLine="482"/>
        <w:jc w:val="left"/>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Cs w:val="24"/>
        </w:rPr>
        <w:t>一、</w:t>
      </w:r>
      <w:r w:rsidRPr="00CC1DF4">
        <w:rPr>
          <w:rFonts w:ascii="宋体" w:eastAsia="宋体" w:hAnsi="宋体" w:cs="宋体" w:hint="eastAsia"/>
          <w:color w:val="000000"/>
          <w:kern w:val="0"/>
          <w:szCs w:val="24"/>
        </w:rPr>
        <w:t>机构员工年度工资标准，由</w:t>
      </w:r>
      <w:r w:rsidR="008E232E">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参照《</w:t>
      </w:r>
      <w:r w:rsidR="002650F2">
        <w:rPr>
          <w:rFonts w:ascii="宋体" w:eastAsia="宋体" w:hAnsi="宋体" w:cs="宋体" w:hint="eastAsia"/>
          <w:color w:val="000000"/>
          <w:kern w:val="0"/>
          <w:szCs w:val="24"/>
        </w:rPr>
        <w:t>X省</w:t>
      </w:r>
      <w:r w:rsidRPr="00CC1DF4">
        <w:rPr>
          <w:rFonts w:ascii="宋体" w:eastAsia="宋体" w:hAnsi="宋体" w:cs="宋体" w:hint="eastAsia"/>
          <w:color w:val="000000"/>
          <w:kern w:val="0"/>
          <w:szCs w:val="24"/>
        </w:rPr>
        <w:t>公益性社会组织社会工作者薪酬指导表》及章程的规定拟订。</w:t>
      </w:r>
    </w:p>
    <w:p w14:paraId="406AA461" w14:textId="280CACA3"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二、在职员工奖励方法，参照《</w:t>
      </w:r>
      <w:r>
        <w:rPr>
          <w:rFonts w:ascii="宋体" w:eastAsia="宋体" w:hAnsi="宋体" w:cs="宋体" w:hint="eastAsia"/>
          <w:color w:val="000000"/>
          <w:kern w:val="0"/>
          <w:szCs w:val="24"/>
        </w:rPr>
        <w:t>X</w:t>
      </w:r>
      <w:r>
        <w:rPr>
          <w:rFonts w:ascii="宋体" w:eastAsia="宋体" w:hAnsi="宋体" w:cs="宋体"/>
          <w:color w:val="000000"/>
          <w:kern w:val="0"/>
          <w:szCs w:val="24"/>
        </w:rPr>
        <w:t>X</w:t>
      </w:r>
      <w:r w:rsidRPr="00CC1DF4">
        <w:rPr>
          <w:rFonts w:ascii="宋体" w:eastAsia="宋体" w:hAnsi="宋体" w:cs="宋体" w:hint="eastAsia"/>
          <w:color w:val="000000"/>
          <w:kern w:val="0"/>
          <w:szCs w:val="24"/>
        </w:rPr>
        <w:t>社会工作服务</w:t>
      </w:r>
      <w:r>
        <w:rPr>
          <w:rFonts w:ascii="宋体" w:eastAsia="宋体" w:hAnsi="宋体" w:cs="宋体" w:hint="eastAsia"/>
          <w:color w:val="000000"/>
          <w:kern w:val="0"/>
          <w:szCs w:val="24"/>
        </w:rPr>
        <w:t>站</w:t>
      </w:r>
      <w:r w:rsidRPr="00CC1DF4">
        <w:rPr>
          <w:rFonts w:ascii="宋体" w:eastAsia="宋体" w:hAnsi="宋体" w:cs="宋体" w:hint="eastAsia"/>
          <w:color w:val="000000"/>
          <w:kern w:val="0"/>
          <w:szCs w:val="24"/>
        </w:rPr>
        <w:t>薪资结构表》实施。</w:t>
      </w:r>
    </w:p>
    <w:p w14:paraId="5630EE76"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t>第九章 支出审批制度</w:t>
      </w:r>
    </w:p>
    <w:p w14:paraId="2E38FAD0" w14:textId="2444C9CA"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一、本制度主要为资金支出方面审批及审批权限管理规定与流程，其他未涉及规定均按相关制度执行，与其相配套的制度有本机构的《</w:t>
      </w:r>
      <w:r>
        <w:rPr>
          <w:rFonts w:ascii="宋体" w:eastAsia="宋体" w:hAnsi="宋体" w:cs="宋体" w:hint="eastAsia"/>
          <w:color w:val="000000"/>
          <w:kern w:val="0"/>
          <w:szCs w:val="24"/>
        </w:rPr>
        <w:t>X</w:t>
      </w:r>
      <w:r>
        <w:rPr>
          <w:rFonts w:ascii="宋体" w:eastAsia="宋体" w:hAnsi="宋体" w:cs="宋体"/>
          <w:color w:val="000000"/>
          <w:kern w:val="0"/>
          <w:szCs w:val="24"/>
        </w:rPr>
        <w:t>X</w:t>
      </w:r>
      <w:r w:rsidRPr="00CC1DF4">
        <w:rPr>
          <w:rFonts w:ascii="宋体" w:eastAsia="宋体" w:hAnsi="宋体" w:cs="宋体" w:hint="eastAsia"/>
          <w:color w:val="000000"/>
          <w:kern w:val="0"/>
          <w:szCs w:val="24"/>
        </w:rPr>
        <w:t>社会工作服务</w:t>
      </w:r>
      <w:r>
        <w:rPr>
          <w:rFonts w:ascii="宋体" w:eastAsia="宋体" w:hAnsi="宋体" w:cs="宋体" w:hint="eastAsia"/>
          <w:color w:val="000000"/>
          <w:kern w:val="0"/>
          <w:szCs w:val="24"/>
        </w:rPr>
        <w:t>站</w:t>
      </w:r>
      <w:r w:rsidRPr="00CC1DF4">
        <w:rPr>
          <w:rFonts w:ascii="宋体" w:eastAsia="宋体" w:hAnsi="宋体" w:cs="宋体" w:hint="eastAsia"/>
          <w:color w:val="000000"/>
          <w:kern w:val="0"/>
          <w:szCs w:val="24"/>
        </w:rPr>
        <w:t>服务经费使用管理制度》，本制度有规定的一律按本制度执行。</w:t>
      </w:r>
    </w:p>
    <w:p w14:paraId="5AFABE26"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二、资金支出管理规定</w:t>
      </w:r>
    </w:p>
    <w:p w14:paraId="605DA7AC"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1、各级负责人应严格按照制度进行审核报销，要严把审批关，掌握所管部门费用的实际情况。</w:t>
      </w:r>
    </w:p>
    <w:p w14:paraId="03F65298" w14:textId="77777777"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2、审批权限：</w:t>
      </w:r>
    </w:p>
    <w:p w14:paraId="1BCB5448" w14:textId="04D45CDF"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（1）同工业务活动支出时需获得服务点负责人、督导批准后报</w:t>
      </w:r>
      <w:r w:rsidR="004009F3">
        <w:rPr>
          <w:rFonts w:ascii="宋体" w:eastAsia="宋体" w:hAnsi="宋体" w:cs="宋体" w:hint="eastAsia"/>
          <w:color w:val="000000"/>
          <w:kern w:val="0"/>
          <w:szCs w:val="24"/>
        </w:rPr>
        <w:t>副站长</w:t>
      </w:r>
      <w:r w:rsidRPr="00CC1DF4">
        <w:rPr>
          <w:rFonts w:ascii="宋体" w:eastAsia="宋体" w:hAnsi="宋体" w:cs="宋体" w:hint="eastAsia"/>
          <w:color w:val="000000"/>
          <w:kern w:val="0"/>
          <w:szCs w:val="24"/>
        </w:rPr>
        <w:t>审批，</w:t>
      </w:r>
      <w:r w:rsidR="004009F3">
        <w:rPr>
          <w:rFonts w:ascii="宋体" w:eastAsia="宋体" w:hAnsi="宋体" w:cs="宋体" w:hint="eastAsia"/>
          <w:color w:val="000000"/>
          <w:kern w:val="0"/>
          <w:szCs w:val="24"/>
        </w:rPr>
        <w:t>副站长</w:t>
      </w:r>
      <w:r w:rsidRPr="00CC1DF4">
        <w:rPr>
          <w:rFonts w:ascii="宋体" w:eastAsia="宋体" w:hAnsi="宋体" w:cs="宋体" w:hint="eastAsia"/>
          <w:color w:val="000000"/>
          <w:kern w:val="0"/>
          <w:szCs w:val="24"/>
        </w:rPr>
        <w:t>单张报销单审批权限上限为1000元内；</w:t>
      </w:r>
    </w:p>
    <w:p w14:paraId="626D176F" w14:textId="1CD2CB1E"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（2）若一次性费用支出额超过1000元的，需</w:t>
      </w:r>
      <w:r w:rsidR="004009F3">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审批同意方可发生；</w:t>
      </w:r>
    </w:p>
    <w:p w14:paraId="0E28EFE5" w14:textId="364BC8D9" w:rsidR="00CC1DF4" w:rsidRPr="00CC1DF4" w:rsidRDefault="00CC1DF4" w:rsidP="00886ED4">
      <w:pPr>
        <w:widowControl/>
        <w:shd w:val="clear" w:color="auto" w:fill="FFFFFF"/>
        <w:adjustRightInd w:val="0"/>
        <w:snapToGrid w:val="0"/>
        <w:spacing w:before="100" w:beforeAutospacing="1" w:after="100" w:afterAutospacing="1" w:line="312" w:lineRule="auto"/>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lastRenderedPageBreak/>
        <w:t>（3）若为购置价值在1000元以内固定资产的，需要</w:t>
      </w:r>
      <w:r w:rsidR="004009F3">
        <w:rPr>
          <w:rFonts w:ascii="宋体" w:eastAsia="宋体" w:hAnsi="宋体" w:cs="宋体" w:hint="eastAsia"/>
          <w:color w:val="000000"/>
          <w:kern w:val="0"/>
          <w:szCs w:val="24"/>
        </w:rPr>
        <w:t>副站长</w:t>
      </w:r>
      <w:r w:rsidRPr="00CC1DF4">
        <w:rPr>
          <w:rFonts w:ascii="宋体" w:eastAsia="宋体" w:hAnsi="宋体" w:cs="宋体" w:hint="eastAsia"/>
          <w:color w:val="000000"/>
          <w:kern w:val="0"/>
          <w:szCs w:val="24"/>
        </w:rPr>
        <w:t>审批同意后方可发生。购置1000元或以上的固定资产，需要</w:t>
      </w:r>
      <w:r w:rsidR="004009F3">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审批同意后方可发生。</w:t>
      </w:r>
    </w:p>
    <w:p w14:paraId="5387CD40"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三、项目款项应专款专用，申请部门在实施当中要节省费用开支，造成浪费的要追究当事人责任。</w:t>
      </w:r>
    </w:p>
    <w:p w14:paraId="1BD9FEC6" w14:textId="6F683BBA"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四、财务部跟踪实施过程，并进行监督，发现问题及时上报</w:t>
      </w:r>
      <w:r w:rsidR="008E232E">
        <w:rPr>
          <w:rFonts w:ascii="宋体" w:eastAsia="宋体" w:hAnsi="宋体" w:cs="宋体" w:hint="eastAsia"/>
          <w:color w:val="000000"/>
          <w:kern w:val="0"/>
          <w:szCs w:val="24"/>
        </w:rPr>
        <w:t>站长</w:t>
      </w:r>
      <w:r w:rsidRPr="00CC1DF4">
        <w:rPr>
          <w:rFonts w:ascii="宋体" w:eastAsia="宋体" w:hAnsi="宋体" w:cs="宋体" w:hint="eastAsia"/>
          <w:color w:val="000000"/>
          <w:kern w:val="0"/>
          <w:szCs w:val="24"/>
        </w:rPr>
        <w:t>。</w:t>
      </w:r>
    </w:p>
    <w:p w14:paraId="150FA256" w14:textId="5C327BF1" w:rsidR="00CC1DF4" w:rsidRPr="00CC1DF4" w:rsidRDefault="00CC1DF4" w:rsidP="00886ED4">
      <w:pPr>
        <w:widowControl/>
        <w:shd w:val="clear" w:color="auto" w:fill="FFFFFF"/>
        <w:adjustRightInd w:val="0"/>
        <w:snapToGrid w:val="0"/>
        <w:spacing w:before="100" w:beforeAutospacing="1" w:after="100" w:afterAutospacing="1" w:line="312" w:lineRule="auto"/>
        <w:jc w:val="center"/>
        <w:rPr>
          <w:rFonts w:ascii="微软雅黑" w:eastAsia="微软雅黑" w:hAnsi="微软雅黑" w:cs="宋体"/>
          <w:color w:val="000000"/>
          <w:kern w:val="0"/>
          <w:sz w:val="18"/>
          <w:szCs w:val="18"/>
        </w:rPr>
      </w:pPr>
      <w:r w:rsidRPr="00CC1DF4">
        <w:rPr>
          <w:rFonts w:ascii="宋体" w:eastAsia="宋体" w:hAnsi="宋体" w:cs="宋体" w:hint="eastAsia"/>
          <w:b/>
          <w:bCs/>
          <w:color w:val="000000"/>
          <w:kern w:val="0"/>
          <w:sz w:val="28"/>
        </w:rPr>
        <w:t>第十章附则</w:t>
      </w:r>
    </w:p>
    <w:p w14:paraId="13D37DC2" w14:textId="7B803054" w:rsidR="00CC1DF4" w:rsidRPr="00CC1DF4" w:rsidRDefault="00CC1DF4" w:rsidP="00886ED4">
      <w:pPr>
        <w:widowControl/>
        <w:shd w:val="clear" w:color="auto" w:fill="FFFFFF"/>
        <w:adjustRightInd w:val="0"/>
        <w:snapToGrid w:val="0"/>
        <w:spacing w:before="100" w:beforeAutospacing="1" w:after="100" w:afterAutospacing="1" w:line="312" w:lineRule="auto"/>
        <w:ind w:firstLine="512"/>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一、本制度自20</w:t>
      </w:r>
      <w:r w:rsidR="002650F2">
        <w:rPr>
          <w:rFonts w:ascii="宋体" w:eastAsia="宋体" w:hAnsi="宋体" w:cs="宋体"/>
          <w:color w:val="000000"/>
          <w:kern w:val="0"/>
          <w:szCs w:val="24"/>
        </w:rPr>
        <w:t>22</w:t>
      </w:r>
      <w:r w:rsidRPr="00CC1DF4">
        <w:rPr>
          <w:rFonts w:ascii="宋体" w:eastAsia="宋体" w:hAnsi="宋体" w:cs="宋体" w:hint="eastAsia"/>
          <w:color w:val="000000"/>
          <w:kern w:val="0"/>
          <w:szCs w:val="24"/>
        </w:rPr>
        <w:t>年</w:t>
      </w:r>
      <w:r w:rsidR="002650F2">
        <w:rPr>
          <w:rFonts w:ascii="宋体" w:eastAsia="宋体" w:hAnsi="宋体" w:cs="宋体"/>
          <w:color w:val="000000"/>
          <w:kern w:val="0"/>
          <w:szCs w:val="24"/>
        </w:rPr>
        <w:t>10</w:t>
      </w:r>
      <w:r w:rsidRPr="00CC1DF4">
        <w:rPr>
          <w:rFonts w:ascii="宋体" w:eastAsia="宋体" w:hAnsi="宋体" w:cs="宋体" w:hint="eastAsia"/>
          <w:color w:val="000000"/>
          <w:kern w:val="0"/>
          <w:szCs w:val="24"/>
        </w:rPr>
        <w:t>月1日起施行。</w:t>
      </w:r>
    </w:p>
    <w:p w14:paraId="338C3E04" w14:textId="77777777"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二、其他未尽事宜按照国家有关法律、法规严格执行。</w:t>
      </w:r>
    </w:p>
    <w:p w14:paraId="62A8C25E" w14:textId="645F2229" w:rsidR="00CC1DF4" w:rsidRPr="00CC1DF4" w:rsidRDefault="00CC1DF4" w:rsidP="00886ED4">
      <w:pPr>
        <w:widowControl/>
        <w:shd w:val="clear" w:color="auto" w:fill="FFFFFF"/>
        <w:adjustRightInd w:val="0"/>
        <w:snapToGrid w:val="0"/>
        <w:spacing w:before="100" w:beforeAutospacing="1" w:after="100" w:afterAutospacing="1" w:line="312" w:lineRule="auto"/>
        <w:ind w:firstLine="480"/>
        <w:jc w:val="left"/>
        <w:rPr>
          <w:rFonts w:ascii="微软雅黑" w:eastAsia="微软雅黑" w:hAnsi="微软雅黑" w:cs="宋体"/>
          <w:color w:val="000000"/>
          <w:kern w:val="0"/>
          <w:sz w:val="18"/>
          <w:szCs w:val="18"/>
        </w:rPr>
      </w:pPr>
      <w:r w:rsidRPr="00CC1DF4">
        <w:rPr>
          <w:rFonts w:ascii="宋体" w:eastAsia="宋体" w:hAnsi="宋体" w:cs="宋体" w:hint="eastAsia"/>
          <w:color w:val="000000"/>
          <w:kern w:val="0"/>
          <w:szCs w:val="24"/>
        </w:rPr>
        <w:t>三、本制度的解释权归</w:t>
      </w:r>
      <w:r w:rsidR="002650F2">
        <w:rPr>
          <w:rFonts w:ascii="宋体" w:eastAsia="宋体" w:hAnsi="宋体" w:cs="宋体" w:hint="eastAsia"/>
          <w:color w:val="000000"/>
          <w:kern w:val="0"/>
          <w:szCs w:val="24"/>
        </w:rPr>
        <w:t>X</w:t>
      </w:r>
      <w:r w:rsidR="002650F2">
        <w:rPr>
          <w:rFonts w:ascii="宋体" w:eastAsia="宋体" w:hAnsi="宋体" w:cs="宋体"/>
          <w:color w:val="000000"/>
          <w:kern w:val="0"/>
          <w:szCs w:val="24"/>
        </w:rPr>
        <w:t>X</w:t>
      </w:r>
      <w:r w:rsidRPr="00CC1DF4">
        <w:rPr>
          <w:rFonts w:ascii="宋体" w:eastAsia="宋体" w:hAnsi="宋体" w:cs="宋体" w:hint="eastAsia"/>
          <w:color w:val="000000"/>
          <w:kern w:val="0"/>
          <w:szCs w:val="24"/>
        </w:rPr>
        <w:t>社会工作服务</w:t>
      </w:r>
      <w:r w:rsidR="002650F2">
        <w:rPr>
          <w:rFonts w:ascii="宋体" w:eastAsia="宋体" w:hAnsi="宋体" w:cs="宋体" w:hint="eastAsia"/>
          <w:color w:val="000000"/>
          <w:kern w:val="0"/>
          <w:szCs w:val="24"/>
        </w:rPr>
        <w:t>站</w:t>
      </w:r>
      <w:r w:rsidRPr="00CC1DF4">
        <w:rPr>
          <w:rFonts w:ascii="宋体" w:eastAsia="宋体" w:hAnsi="宋体" w:cs="宋体" w:hint="eastAsia"/>
          <w:color w:val="000000"/>
          <w:kern w:val="0"/>
          <w:szCs w:val="24"/>
        </w:rPr>
        <w:t>所有。</w:t>
      </w:r>
    </w:p>
    <w:p w14:paraId="6E86168C" w14:textId="77777777" w:rsidR="00A6249F" w:rsidRPr="00CC1DF4" w:rsidRDefault="00A6249F" w:rsidP="00D34862">
      <w:pPr>
        <w:adjustRightInd w:val="0"/>
        <w:snapToGrid w:val="0"/>
        <w:spacing w:line="360" w:lineRule="auto"/>
      </w:pPr>
    </w:p>
    <w:sectPr w:rsidR="00A6249F" w:rsidRPr="00CC1D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E8FD4" w14:textId="77777777" w:rsidR="00B62D8E" w:rsidRDefault="00B62D8E" w:rsidP="00886ED4">
      <w:r>
        <w:separator/>
      </w:r>
    </w:p>
  </w:endnote>
  <w:endnote w:type="continuationSeparator" w:id="0">
    <w:p w14:paraId="10C8777E" w14:textId="77777777" w:rsidR="00B62D8E" w:rsidRDefault="00B62D8E" w:rsidP="0088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Light">
    <w:panose1 w:val="020B0502040204020203"/>
    <w:charset w:val="86"/>
    <w:family w:val="swiss"/>
    <w:pitch w:val="variable"/>
    <w:sig w:usb0="80000287" w:usb1="2ACF001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7A768" w14:textId="77777777" w:rsidR="00B62D8E" w:rsidRDefault="00B62D8E" w:rsidP="00886ED4">
      <w:r>
        <w:separator/>
      </w:r>
    </w:p>
  </w:footnote>
  <w:footnote w:type="continuationSeparator" w:id="0">
    <w:p w14:paraId="060D826F" w14:textId="77777777" w:rsidR="00B62D8E" w:rsidRDefault="00B62D8E" w:rsidP="00886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DF4"/>
    <w:rsid w:val="00001E28"/>
    <w:rsid w:val="002650F2"/>
    <w:rsid w:val="004009F3"/>
    <w:rsid w:val="00832329"/>
    <w:rsid w:val="00886ED4"/>
    <w:rsid w:val="008E232E"/>
    <w:rsid w:val="0098647B"/>
    <w:rsid w:val="00A6249F"/>
    <w:rsid w:val="00B62D8E"/>
    <w:rsid w:val="00BC0B34"/>
    <w:rsid w:val="00CC1DF4"/>
    <w:rsid w:val="00D34862"/>
    <w:rsid w:val="00EF3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63875"/>
  <w15:chartTrackingRefBased/>
  <w15:docId w15:val="{B62EB739-C11D-44A7-9A23-FE9FB1418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微软雅黑 Light" w:eastAsia="微软雅黑 Light" w:hAnsi="微软雅黑 Light" w:cstheme="minorBidi"/>
        <w:kern w:val="2"/>
        <w:sz w:val="24"/>
        <w:szCs w:val="28"/>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BC0B34"/>
    <w:pPr>
      <w:keepNext/>
      <w:keepLines/>
      <w:spacing w:before="160" w:after="40" w:line="360" w:lineRule="auto"/>
      <w:ind w:leftChars="200" w:left="200"/>
      <w:outlineLvl w:val="1"/>
    </w:pPr>
    <w:rPr>
      <w:rFonts w:asciiTheme="majorHAnsi" w:eastAsiaTheme="majorEastAsia" w:hAnsiTheme="majorHAnsi" w:cstheme="majorBidi"/>
      <w:b/>
      <w:bCs/>
      <w:sz w:val="32"/>
      <w:szCs w:val="32"/>
    </w:rPr>
  </w:style>
  <w:style w:type="paragraph" w:styleId="3">
    <w:name w:val="heading 3"/>
    <w:basedOn w:val="a"/>
    <w:next w:val="a"/>
    <w:link w:val="30"/>
    <w:autoRedefine/>
    <w:uiPriority w:val="9"/>
    <w:unhideWhenUsed/>
    <w:qFormat/>
    <w:rsid w:val="00BC0B34"/>
    <w:pPr>
      <w:keepNext/>
      <w:keepLines/>
      <w:spacing w:before="260" w:line="360" w:lineRule="auto"/>
      <w:ind w:leftChars="150" w:left="150"/>
      <w:outlineLvl w:val="2"/>
    </w:pPr>
    <w:rPr>
      <w:rFonts w:ascii="等线" w:eastAsia="等线"/>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BC0B34"/>
    <w:rPr>
      <w:rFonts w:asciiTheme="majorHAnsi" w:eastAsiaTheme="majorEastAsia" w:hAnsiTheme="majorHAnsi" w:cstheme="majorBidi"/>
      <w:b/>
      <w:bCs/>
      <w:sz w:val="32"/>
      <w:szCs w:val="32"/>
    </w:rPr>
  </w:style>
  <w:style w:type="character" w:customStyle="1" w:styleId="30">
    <w:name w:val="标题 3 字符"/>
    <w:basedOn w:val="a0"/>
    <w:link w:val="3"/>
    <w:uiPriority w:val="9"/>
    <w:rsid w:val="00BC0B34"/>
    <w:rPr>
      <w:rFonts w:ascii="等线" w:eastAsia="等线"/>
      <w:bCs/>
      <w:sz w:val="28"/>
      <w:szCs w:val="32"/>
    </w:rPr>
  </w:style>
  <w:style w:type="character" w:styleId="a3">
    <w:name w:val="Hyperlink"/>
    <w:basedOn w:val="a0"/>
    <w:uiPriority w:val="99"/>
    <w:semiHidden/>
    <w:unhideWhenUsed/>
    <w:rsid w:val="00CC1DF4"/>
    <w:rPr>
      <w:color w:val="0000FF"/>
      <w:u w:val="single"/>
    </w:rPr>
  </w:style>
  <w:style w:type="paragraph" w:styleId="a4">
    <w:name w:val="Normal Indent"/>
    <w:basedOn w:val="a"/>
    <w:uiPriority w:val="99"/>
    <w:semiHidden/>
    <w:unhideWhenUsed/>
    <w:rsid w:val="00CC1DF4"/>
    <w:pPr>
      <w:widowControl/>
      <w:spacing w:before="100" w:beforeAutospacing="1" w:after="100" w:afterAutospacing="1"/>
      <w:jc w:val="left"/>
    </w:pPr>
    <w:rPr>
      <w:rFonts w:ascii="宋体" w:eastAsia="宋体" w:hAnsi="宋体" w:cs="宋体"/>
      <w:kern w:val="0"/>
      <w:szCs w:val="24"/>
    </w:rPr>
  </w:style>
  <w:style w:type="paragraph" w:styleId="a5">
    <w:name w:val="header"/>
    <w:basedOn w:val="a"/>
    <w:link w:val="a6"/>
    <w:uiPriority w:val="99"/>
    <w:unhideWhenUsed/>
    <w:rsid w:val="00886ED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86ED4"/>
    <w:rPr>
      <w:sz w:val="18"/>
      <w:szCs w:val="18"/>
    </w:rPr>
  </w:style>
  <w:style w:type="paragraph" w:styleId="a7">
    <w:name w:val="footer"/>
    <w:basedOn w:val="a"/>
    <w:link w:val="a8"/>
    <w:uiPriority w:val="99"/>
    <w:unhideWhenUsed/>
    <w:rsid w:val="00886ED4"/>
    <w:pPr>
      <w:tabs>
        <w:tab w:val="center" w:pos="4153"/>
        <w:tab w:val="right" w:pos="8306"/>
      </w:tabs>
      <w:snapToGrid w:val="0"/>
      <w:jc w:val="left"/>
    </w:pPr>
    <w:rPr>
      <w:sz w:val="18"/>
      <w:szCs w:val="18"/>
    </w:rPr>
  </w:style>
  <w:style w:type="character" w:customStyle="1" w:styleId="a8">
    <w:name w:val="页脚 字符"/>
    <w:basedOn w:val="a0"/>
    <w:link w:val="a7"/>
    <w:uiPriority w:val="99"/>
    <w:rsid w:val="00886E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7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355727.htm" TargetMode="External"/><Relationship Id="rId13" Type="http://schemas.openxmlformats.org/officeDocument/2006/relationships/hyperlink" Target="http://baike.baidu.com/view/1267089.htm" TargetMode="External"/><Relationship Id="rId3" Type="http://schemas.openxmlformats.org/officeDocument/2006/relationships/webSettings" Target="webSettings.xml"/><Relationship Id="rId7" Type="http://schemas.openxmlformats.org/officeDocument/2006/relationships/hyperlink" Target="http://baike.baidu.com/view/460948.htm" TargetMode="External"/><Relationship Id="rId12" Type="http://schemas.openxmlformats.org/officeDocument/2006/relationships/hyperlink" Target="http://baike.baidu.com/view/2724001.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aike.baidu.com/view/8426.htm" TargetMode="External"/><Relationship Id="rId11" Type="http://schemas.openxmlformats.org/officeDocument/2006/relationships/hyperlink" Target="http://baike.baidu.com/view/2210495.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baike.baidu.com/view/613949.htm" TargetMode="External"/><Relationship Id="rId4" Type="http://schemas.openxmlformats.org/officeDocument/2006/relationships/footnotes" Target="footnotes.xml"/><Relationship Id="rId9" Type="http://schemas.openxmlformats.org/officeDocument/2006/relationships/hyperlink" Target="http://baike.baidu.com/view/21741.htm" TargetMode="External"/><Relationship Id="rId14" Type="http://schemas.openxmlformats.org/officeDocument/2006/relationships/hyperlink" Target="http://baike.baidu.com/view/1066666.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754</Words>
  <Characters>4301</Characters>
  <Application>Microsoft Office Word</Application>
  <DocSecurity>0</DocSecurity>
  <Lines>35</Lines>
  <Paragraphs>10</Paragraphs>
  <ScaleCrop>false</ScaleCrop>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 Yan Jun</dc:creator>
  <cp:keywords/>
  <dc:description/>
  <cp:lastModifiedBy> Cai Yan Jun</cp:lastModifiedBy>
  <cp:revision>4</cp:revision>
  <dcterms:created xsi:type="dcterms:W3CDTF">2022-06-08T09:16:00Z</dcterms:created>
  <dcterms:modified xsi:type="dcterms:W3CDTF">2022-06-08T10:40:00Z</dcterms:modified>
</cp:coreProperties>
</file>